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1B" w:rsidRPr="000B46E5" w:rsidRDefault="004B6F1B" w:rsidP="004B6F1B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4B6F1B" w:rsidRPr="000B46E5" w:rsidTr="00D13B13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B6F1B" w:rsidRPr="000B46E5" w:rsidRDefault="004B6F1B" w:rsidP="00D13B13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4B6F1B" w:rsidTr="00D13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4B6F1B" w:rsidRDefault="004B6F1B" w:rsidP="00D13B13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4B6F1B" w:rsidRPr="000B46E5" w:rsidRDefault="004B6F1B" w:rsidP="00D13B13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4B6F1B" w:rsidRPr="000B46E5" w:rsidRDefault="004B6F1B" w:rsidP="00D13B13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4B6F1B" w:rsidRDefault="004B6F1B" w:rsidP="00D13B13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4B6F1B" w:rsidRDefault="004B6F1B" w:rsidP="00D13B13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4B6F1B" w:rsidRPr="000B46E5" w:rsidTr="00D13B13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6F1B" w:rsidRPr="000B46E5" w:rsidRDefault="004B6F1B" w:rsidP="00D13B13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L’UTENTE FINALE</w:t>
            </w:r>
          </w:p>
        </w:tc>
      </w:tr>
    </w:tbl>
    <w:p w:rsidR="004B6F1B" w:rsidRPr="000B46E5" w:rsidRDefault="004B6F1B" w:rsidP="004B6F1B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dell’applicazione software o della suite di applicazioni presso cui il licenziatario ha acquistato il software Microsoft (“Licenziante”) e il licenziatario. Il licenziatario deve leggerle con attenzione.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4B6F1B" w:rsidRPr="000B46E5" w:rsidRDefault="004B6F1B" w:rsidP="004B6F1B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Microsoft Corporation o una delle sue consociate (collettivamente “Microsoft”) ha concesso in licenza il software al Licenziante.</w:t>
      </w:r>
    </w:p>
    <w:p w:rsidR="004B6F1B" w:rsidRPr="000B46E5" w:rsidRDefault="004B6F1B" w:rsidP="004B6F1B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4B6F1B" w:rsidRPr="000B46E5" w:rsidRDefault="004B6F1B" w:rsidP="004B6F1B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4B6F1B" w:rsidRPr="000B46E5" w:rsidTr="00D13B13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B6F1B" w:rsidRPr="000B46E5" w:rsidRDefault="004B6F1B" w:rsidP="00D13B13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lang w:val="en-US" w:eastAsia="en-US"/>
              </w:rPr>
            </w:pPr>
          </w:p>
        </w:tc>
      </w:tr>
    </w:tbl>
    <w:p w:rsidR="004B6F1B" w:rsidRPr="000B46E5" w:rsidRDefault="004B6F1B" w:rsidP="004B6F1B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 software server direttamente o indirettamente tramite altro software aggiuntivo.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 “istanza” di software eseguendo la procedura di configurazione o installazione del software.</w:t>
      </w:r>
      <w:r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un’istanza di software duplicando un’istanza esistente.</w:t>
      </w:r>
      <w:r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 riferimenti al software nel presente contratto includono “istanze” del software.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Esecuzione di un’Istanza.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“esegue un’istanza” di software caricandola in memoria ed </w:t>
      </w:r>
      <w:r w:rsidRPr="000B46E5">
        <w:rPr>
          <w:sz w:val="20"/>
          <w:szCs w:val="20"/>
          <w:lang w:val="it-IT"/>
        </w:rPr>
        <w:lastRenderedPageBreak/>
        <w:t>eseguendo una o più delle relative istruzioni.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“ambiente del sistema operativo” è un’istanza di un sistema operativo e istanze di eventuali applicazioni configurate per essere eseguite su quella istanza del sistema operativo.</w:t>
      </w:r>
      <w:r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“server” è un sistema hardware fisico in grado di eseguire un software server.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 partizione hardware o un blade è considerato un sistema hardware fisico separato.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 “licenza del software” significa semplicemente designare quella licenza a un dispositivo o a un utente.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SULL’UTILIZZO.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dall’ultima cessione.</w:t>
      </w:r>
      <w:r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 licenza per quella licenza.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un’istanza del software server in un ambiente fisico o virtuale del sistema operativo sul server concesso in licenza.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 altrimenti utilizzare un numero qualsiasi di istanze del software aggiuntivo elencato di seguito in ambienti fisici o virtuali del sistema operativo su un numero qualsiasi di dispositivi.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un’istanza del software server esclusivamente per esercitare il proprio diritto a eseguire un’istanza in un ambiente fisico del sistema operativo nella modalità descritta sopra.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4B6F1B" w:rsidRPr="000B46E5" w:rsidRDefault="004B6F1B" w:rsidP="004B6F1B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 esempio non potrà distribuirle a terzi.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SULL’UTILIZZO.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(“Client Access License” o “CAL”).</w:t>
      </w:r>
    </w:p>
    <w:p w:rsidR="004B6F1B" w:rsidRPr="000B46E5" w:rsidRDefault="004B6F1B" w:rsidP="004B6F1B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 utente che accede direttamente o indirettamente a istanze del software server.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 partizione hardware o un blade è considerato un dispositivo separato.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Il licenziatario non sarà tenuto a disporre di CAL per i server concessi in licenza per eseguire </w:t>
      </w:r>
      <w:r w:rsidRPr="000B46E5">
        <w:rPr>
          <w:sz w:val="20"/>
          <w:szCs w:val="20"/>
          <w:lang w:val="it-IT"/>
        </w:rPr>
        <w:lastRenderedPageBreak/>
        <w:t>istanze del software server.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4B6F1B" w:rsidRPr="000B46E5" w:rsidRDefault="004B6F1B" w:rsidP="004B6F1B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Pr="000B46E5">
        <w:rPr>
          <w:rFonts w:ascii="Tahoma" w:hAnsi="Tahoma" w:cs="Tahoma"/>
          <w:b/>
          <w:bCs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 potrà utilizzare una forma intermedia tra CAL per dispositivo e CAL per utente.</w:t>
      </w:r>
    </w:p>
    <w:p w:rsidR="004B6F1B" w:rsidRPr="000B46E5" w:rsidRDefault="004B6F1B" w:rsidP="004B6F1B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B6F1B" w:rsidRPr="000B46E5" w:rsidRDefault="004B6F1B" w:rsidP="004B6F1B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 dispositivo principale è guasto oppure una CAL utente a un lavoratore temporaneo mentre l’utente principale è assente.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L’hardware o il software utilizzato dal licenziatario per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4B6F1B" w:rsidRPr="000B46E5" w:rsidRDefault="004B6F1B" w:rsidP="004B6F1B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B6F1B" w:rsidRPr="000B46E5" w:rsidRDefault="004B6F1B" w:rsidP="004B6F1B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(talvolta indicato come “multiplexing” o “pooling”), non riduce il numero di licenze di qualsiasi tipo che sono necessarie.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 utilizzarlo su più di un ambiente del sistema operativo ai sensi di una licenza singola, se non espressamente consentito.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B6F1B" w:rsidRPr="000B46E5" w:rsidRDefault="004B6F1B" w:rsidP="004B6F1B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all’utilizzo da parte del licenziatario di MOM Management Packs.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l’installazione, a meno che non lo attivi.</w:t>
      </w:r>
      <w:r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 xml:space="preserve">Questa operazione è necessaria per evitare l’utilizzo di </w:t>
      </w:r>
      <w:r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all’attivazione finché il licenziatario non eseguirà l’operazione.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 presente contratto concede al licenziatario solo alcuni diritti di utilizzo del software.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 Microsoft si riservano tutti gli altri diritti.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 licenziatario potrà utilizzare il software esclusivamente nei modi espressamente concessi nel presente contratto.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4B6F1B" w:rsidRPr="000B46E5" w:rsidRDefault="004B6F1B" w:rsidP="004B6F1B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utilizzare il software per fornire hosting di servizi commerciali.</w:t>
      </w:r>
    </w:p>
    <w:p w:rsidR="004B6F1B" w:rsidRPr="000B46E5" w:rsidRDefault="004B6F1B" w:rsidP="004B6F1B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 tale dispositivo.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ALL’ESPORTAZIONE.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dell’esportazione.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dell’esportazione. Tali leggi includono limitazioni circa le destinazioni, gli utenti finali e l’utilizzo finale. Per ulteriori informazioni, il licenziatario potrà visitare la pagina www.microsoft.com/exporting.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supplementi, gli aggiornamenti e i servizi basati su Internet utilizzati dal licenziatario costituiscono l’intero accordo relativo al software.</w:t>
      </w:r>
    </w:p>
    <w:p w:rsidR="004B6F1B" w:rsidRPr="000B46E5" w:rsidRDefault="004B6F1B" w:rsidP="004B6F1B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 presente contratto non modifica i diritti del licenziatario che la legge del suo Paese di residenza non consente di modificare.</w:t>
      </w:r>
    </w:p>
    <w:p w:rsidR="004B6F1B" w:rsidRPr="000B46E5" w:rsidRDefault="004B6F1B" w:rsidP="004B6F1B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4B6F1B" w:rsidRPr="000B46E5" w:rsidRDefault="004B6F1B" w:rsidP="004B6F1B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4B6F1B" w:rsidRPr="000B46E5" w:rsidRDefault="004B6F1B" w:rsidP="004B6F1B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4B6F1B" w:rsidRPr="000B46E5" w:rsidRDefault="004B6F1B" w:rsidP="004B6F1B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4B6F1B" w:rsidRPr="000B46E5" w:rsidRDefault="004B6F1B" w:rsidP="004B6F1B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4B6F1B" w:rsidRPr="000B46E5" w:rsidRDefault="004B6F1B" w:rsidP="004B6F1B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p w:rsidR="00266466" w:rsidRDefault="00266466"/>
    <w:sectPr w:rsidR="00266466" w:rsidSect="000B46E5">
      <w:footerReference w:type="default" r:id="rId7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F1B" w:rsidRDefault="004B6F1B" w:rsidP="004B6F1B">
      <w:pPr>
        <w:spacing w:before="0"/>
      </w:pPr>
      <w:r>
        <w:separator/>
      </w:r>
    </w:p>
  </w:endnote>
  <w:endnote w:type="continuationSeparator" w:id="0">
    <w:p w:rsidR="004B6F1B" w:rsidRDefault="004B6F1B" w:rsidP="004B6F1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4F3FA4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>
      <w:rPr>
        <w:noProof/>
      </w:rPr>
      <w:t>1</w:t>
    </w:r>
    <w:r w:rsidRPr="00C36E7D">
      <w:fldChar w:fldCharType="end"/>
    </w:r>
    <w:r w:rsidRPr="00C36E7D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F1B" w:rsidRDefault="004B6F1B" w:rsidP="004B6F1B">
      <w:pPr>
        <w:spacing w:before="0"/>
      </w:pPr>
      <w:r>
        <w:separator/>
      </w:r>
    </w:p>
  </w:footnote>
  <w:footnote w:type="continuationSeparator" w:id="0">
    <w:p w:rsidR="004B6F1B" w:rsidRDefault="004B6F1B" w:rsidP="004B6F1B">
      <w:pPr>
        <w:spacing w:before="0"/>
      </w:pPr>
      <w:r>
        <w:continuationSeparator/>
      </w:r>
    </w:p>
  </w:footnote>
  <w:footnote w:id="1">
    <w:p w:rsidR="004B6F1B" w:rsidRPr="000B46E5" w:rsidRDefault="004B6F1B" w:rsidP="004B6F1B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4B6F1B" w:rsidRPr="000B46E5" w:rsidRDefault="004B6F1B" w:rsidP="004B6F1B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4B6F1B" w:rsidRPr="000B46E5" w:rsidRDefault="004B6F1B" w:rsidP="004B6F1B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YYPoDikMC7Cjgs6Y9tbjt6Ct8Zwu89SUVTLCtrRTDs85k2lhvjvzCLhTHzWSzYIwGzdM4kU1GWbPnfHVofxc2g==" w:salt="LQUoD2zEua76K8HgbQpE0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1B"/>
    <w:rsid w:val="00266466"/>
    <w:rsid w:val="004B6F1B"/>
    <w:rsid w:val="004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0009F-97FE-45D8-B001-6507885D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1B"/>
    <w:pPr>
      <w:spacing w:before="120" w:after="0" w:line="240" w:lineRule="auto"/>
      <w:ind w:left="-25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B6F1B"/>
    <w:pPr>
      <w:numPr>
        <w:numId w:val="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B6F1B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B6F1B"/>
    <w:pPr>
      <w:numPr>
        <w:ilvl w:val="2"/>
        <w:numId w:val="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B6F1B"/>
    <w:pPr>
      <w:numPr>
        <w:ilvl w:val="3"/>
        <w:numId w:val="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B6F1B"/>
    <w:pPr>
      <w:numPr>
        <w:ilvl w:val="4"/>
        <w:numId w:val="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B6F1B"/>
    <w:pPr>
      <w:numPr>
        <w:ilvl w:val="5"/>
        <w:numId w:val="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B6F1B"/>
    <w:pPr>
      <w:numPr>
        <w:ilvl w:val="6"/>
        <w:numId w:val="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B6F1B"/>
    <w:pPr>
      <w:numPr>
        <w:ilvl w:val="7"/>
        <w:numId w:val="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B6F1B"/>
    <w:pPr>
      <w:numPr>
        <w:ilvl w:val="8"/>
        <w:numId w:val="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F1B"/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B6F1B"/>
    <w:rPr>
      <w:rFonts w:ascii="Tahoma" w:eastAsia="MS Mincho" w:hAnsi="Tahoma" w:cs="Times New Roman"/>
      <w:b/>
      <w:sz w:val="19"/>
      <w:szCs w:val="20"/>
    </w:rPr>
  </w:style>
  <w:style w:type="character" w:customStyle="1" w:styleId="Heading3Char">
    <w:name w:val="Heading 3 Char"/>
    <w:basedOn w:val="DefaultParagraphFont"/>
    <w:link w:val="Heading3"/>
    <w:rsid w:val="004B6F1B"/>
    <w:rPr>
      <w:rFonts w:ascii="Cambria" w:eastAsia="SimSun" w:hAnsi="Cambria" w:cs="Times New Roman"/>
      <w:b/>
      <w:sz w:val="26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B6F1B"/>
    <w:rPr>
      <w:rFonts w:ascii="Calibri" w:eastAsia="SimSun" w:hAnsi="Calibri" w:cs="Times New Roman"/>
      <w:b/>
      <w:sz w:val="28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B6F1B"/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B6F1B"/>
    <w:rPr>
      <w:rFonts w:ascii="Calibri" w:eastAsia="SimSun" w:hAnsi="Calibri" w:cs="Times New Roman"/>
      <w:b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B6F1B"/>
    <w:rPr>
      <w:rFonts w:ascii="Calibri" w:eastAsia="SimSun" w:hAnsi="Calibri" w:cs="Times New Roman"/>
      <w:sz w:val="24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B6F1B"/>
    <w:rPr>
      <w:rFonts w:ascii="Calibri" w:eastAsia="SimSun" w:hAnsi="Calibri" w:cs="Times New Roman"/>
      <w:i/>
      <w:sz w:val="24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B6F1B"/>
    <w:rPr>
      <w:rFonts w:ascii="Cambria" w:eastAsia="SimSun" w:hAnsi="Cambria" w:cs="Times New Roman"/>
      <w:sz w:val="20"/>
      <w:szCs w:val="20"/>
      <w:lang w:val="x-none" w:eastAsia="x-none"/>
    </w:rPr>
  </w:style>
  <w:style w:type="paragraph" w:customStyle="1" w:styleId="Body1">
    <w:name w:val="Body 1"/>
    <w:basedOn w:val="Normal"/>
    <w:rsid w:val="004B6F1B"/>
    <w:pPr>
      <w:ind w:left="357"/>
    </w:pPr>
  </w:style>
  <w:style w:type="paragraph" w:customStyle="1" w:styleId="Body2">
    <w:name w:val="Body 2"/>
    <w:basedOn w:val="Normal"/>
    <w:rsid w:val="004B6F1B"/>
    <w:pPr>
      <w:ind w:left="720"/>
    </w:pPr>
  </w:style>
  <w:style w:type="paragraph" w:customStyle="1" w:styleId="Bullet2">
    <w:name w:val="Bullet 2"/>
    <w:basedOn w:val="Normal"/>
    <w:rsid w:val="004B6F1B"/>
    <w:pPr>
      <w:numPr>
        <w:numId w:val="1"/>
      </w:numPr>
    </w:pPr>
  </w:style>
  <w:style w:type="paragraph" w:customStyle="1" w:styleId="Bullet3">
    <w:name w:val="Bullet 3"/>
    <w:basedOn w:val="Normal"/>
    <w:rsid w:val="004B6F1B"/>
    <w:pPr>
      <w:numPr>
        <w:numId w:val="2"/>
      </w:numPr>
    </w:pPr>
  </w:style>
  <w:style w:type="paragraph" w:customStyle="1" w:styleId="Bullet4">
    <w:name w:val="Bullet 4"/>
    <w:basedOn w:val="Normal"/>
    <w:rsid w:val="004B6F1B"/>
    <w:pPr>
      <w:numPr>
        <w:numId w:val="3"/>
      </w:numPr>
      <w:tabs>
        <w:tab w:val="clear" w:pos="1440"/>
        <w:tab w:val="num" w:pos="1437"/>
      </w:tabs>
      <w:ind w:left="1435"/>
    </w:pPr>
  </w:style>
  <w:style w:type="paragraph" w:customStyle="1" w:styleId="Preamble">
    <w:name w:val="Preamble"/>
    <w:basedOn w:val="Normal"/>
    <w:rsid w:val="004B6F1B"/>
    <w:rPr>
      <w:b/>
      <w:bCs/>
    </w:rPr>
  </w:style>
  <w:style w:type="paragraph" w:customStyle="1" w:styleId="Heading3Bold">
    <w:name w:val="Heading 3 Bold"/>
    <w:basedOn w:val="Heading3"/>
    <w:rsid w:val="004B6F1B"/>
    <w:pPr>
      <w:numPr>
        <w:numId w:val="5"/>
      </w:numPr>
      <w:tabs>
        <w:tab w:val="num" w:pos="1440"/>
      </w:tabs>
    </w:pPr>
    <w:rPr>
      <w:b w:val="0"/>
      <w:bCs/>
    </w:rPr>
  </w:style>
  <w:style w:type="paragraph" w:customStyle="1" w:styleId="PreambleBorderAbove">
    <w:name w:val="Preamble Border Above"/>
    <w:basedOn w:val="Preamble"/>
    <w:rsid w:val="004B6F1B"/>
    <w:pPr>
      <w:pBdr>
        <w:top w:val="single" w:sz="4" w:space="1" w:color="auto"/>
      </w:pBdr>
    </w:pPr>
  </w:style>
  <w:style w:type="paragraph" w:customStyle="1" w:styleId="Footnote">
    <w:name w:val="Footnote"/>
    <w:basedOn w:val="Normal"/>
    <w:rsid w:val="004B6F1B"/>
    <w:rPr>
      <w:rFonts w:cs="Times New Roman"/>
      <w:b/>
      <w:bCs/>
      <w:sz w:val="16"/>
      <w:szCs w:val="16"/>
    </w:rPr>
  </w:style>
  <w:style w:type="character" w:customStyle="1" w:styleId="LogoportDoNotTranslate">
    <w:name w:val="LogoportDoNotTranslate"/>
    <w:rsid w:val="004B6F1B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4B6F1B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2358</Words>
  <Characters>13442</Characters>
  <Application>Microsoft Office Word</Application>
  <DocSecurity>0</DocSecurity>
  <Lines>112</Lines>
  <Paragraphs>31</Paragraphs>
  <ScaleCrop>false</ScaleCrop>
  <Company/>
  <LinksUpToDate>false</LinksUpToDate>
  <CharactersWithSpaces>15769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